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AE039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 w14:paraId="618D12F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>咨询服务单位综合评审标准</w:t>
      </w:r>
    </w:p>
    <w:bookmarkEnd w:id="0"/>
    <w:tbl>
      <w:tblPr>
        <w:tblStyle w:val="6"/>
        <w:tblW w:w="5023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394"/>
        <w:gridCol w:w="963"/>
        <w:gridCol w:w="6141"/>
      </w:tblGrid>
      <w:tr w14:paraId="456571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390" w:type="pct"/>
            <w:noWrap w:val="0"/>
            <w:vAlign w:val="center"/>
          </w:tcPr>
          <w:p w14:paraId="17392A4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56" w:type="pct"/>
            <w:noWrap w:val="0"/>
            <w:vAlign w:val="center"/>
          </w:tcPr>
          <w:p w14:paraId="7107015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评审因素</w:t>
            </w:r>
          </w:p>
        </w:tc>
        <w:tc>
          <w:tcPr>
            <w:tcW w:w="522" w:type="pct"/>
            <w:noWrap w:val="0"/>
            <w:vAlign w:val="center"/>
          </w:tcPr>
          <w:p w14:paraId="17F84DF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3330" w:type="pct"/>
            <w:noWrap w:val="0"/>
            <w:vAlign w:val="center"/>
          </w:tcPr>
          <w:p w14:paraId="1E6F594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评分标准</w:t>
            </w:r>
          </w:p>
        </w:tc>
      </w:tr>
      <w:tr w14:paraId="59BF42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390" w:type="pct"/>
            <w:noWrap w:val="0"/>
            <w:vAlign w:val="center"/>
          </w:tcPr>
          <w:p w14:paraId="7EBD8A3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6" w:type="pct"/>
            <w:noWrap w:val="0"/>
            <w:vAlign w:val="center"/>
          </w:tcPr>
          <w:p w14:paraId="32D4948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报价</w:t>
            </w:r>
          </w:p>
        </w:tc>
        <w:tc>
          <w:tcPr>
            <w:tcW w:w="522" w:type="pct"/>
            <w:noWrap w:val="0"/>
            <w:vAlign w:val="center"/>
          </w:tcPr>
          <w:p w14:paraId="39006B5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3330" w:type="pct"/>
            <w:noWrap w:val="0"/>
            <w:vAlign w:val="center"/>
          </w:tcPr>
          <w:p w14:paraId="5DD9F055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本次报价费率上限参照计价格【2002】1980号文件规定标准70%，报价高于上限值的，其报价作无效响应处理。</w:t>
            </w:r>
          </w:p>
          <w:p w14:paraId="4025AC03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本次招标采取费率报价方式。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有效报价算术平均值为基准价，报价得分=(1-|投标报价-基准价|÷基准价)*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  <w:p w14:paraId="4879910D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（报价低于基准价80%的，按低于成本价作无效响应处理）</w:t>
            </w:r>
          </w:p>
        </w:tc>
      </w:tr>
      <w:tr w14:paraId="1CE86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390" w:type="pct"/>
            <w:noWrap w:val="0"/>
            <w:vAlign w:val="center"/>
          </w:tcPr>
          <w:p w14:paraId="17AFF44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56" w:type="pct"/>
            <w:noWrap w:val="0"/>
            <w:vAlign w:val="center"/>
          </w:tcPr>
          <w:p w14:paraId="5FD7AF94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业绩</w:t>
            </w:r>
          </w:p>
        </w:tc>
        <w:tc>
          <w:tcPr>
            <w:tcW w:w="522" w:type="pct"/>
            <w:noWrap w:val="0"/>
            <w:vAlign w:val="center"/>
          </w:tcPr>
          <w:p w14:paraId="6893475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30分</w:t>
            </w:r>
          </w:p>
        </w:tc>
        <w:tc>
          <w:tcPr>
            <w:tcW w:w="3330" w:type="pct"/>
            <w:tcBorders>
              <w:bottom w:val="single" w:color="auto" w:sz="4" w:space="0"/>
            </w:tcBorders>
            <w:noWrap w:val="0"/>
            <w:vAlign w:val="center"/>
          </w:tcPr>
          <w:p w14:paraId="4010AAA1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咨询服务单位有近5年内（2020年7月-2025年7月）完成过单个合同金额3000万元及以上且采取公开招标方式的医疗类设备政府采购代理业绩的，每个业绩计10分；</w:t>
            </w:r>
          </w:p>
          <w:p w14:paraId="362BC287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咨询服务单位有近5年内（2020年7月-2025年7月）完成过单个合同金额2000万元及以上且采取公开招标方式的医疗类设备政府采购代理业绩的，每个业绩计6分；</w:t>
            </w:r>
          </w:p>
          <w:p w14:paraId="4D920729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咨询服务单位有近5年内（2020年7月-2025年7月）完成过单个合同金额500万元及以上且采取公开招标方式的医疗类设备政府采购代理业绩的，每个业绩计2分；</w:t>
            </w:r>
          </w:p>
          <w:p w14:paraId="5B6CB676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业绩得分最高计30分。（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提供项目中标通知书和招标代理合同、招标公告网页截图并加盖投标人公章等证明材料，否则不计分）。</w:t>
            </w:r>
          </w:p>
        </w:tc>
      </w:tr>
      <w:tr w14:paraId="45C47E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6" w:hRule="atLeast"/>
          <w:jc w:val="center"/>
        </w:trPr>
        <w:tc>
          <w:tcPr>
            <w:tcW w:w="390" w:type="pct"/>
            <w:shd w:val="clear" w:color="auto" w:fill="auto"/>
            <w:noWrap w:val="0"/>
            <w:vAlign w:val="center"/>
          </w:tcPr>
          <w:p w14:paraId="77C2576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56" w:type="pct"/>
            <w:shd w:val="clear" w:color="auto" w:fill="auto"/>
            <w:noWrap w:val="0"/>
            <w:vAlign w:val="center"/>
          </w:tcPr>
          <w:p w14:paraId="014DE51F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服务团队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4D021218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15分</w:t>
            </w:r>
          </w:p>
        </w:tc>
        <w:tc>
          <w:tcPr>
            <w:tcW w:w="3330" w:type="pct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FEF442F">
            <w:pPr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咨询服务单位拟任本项目负责人和项目组成员不得少于3人，均参加过政府采购人员培训，项目负责人和项目组成员具有高级职称的计3分，中级职称的计2分，初级职称的计1分，最高计9分。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（提供人员汇总表、职称证书复印件、政府采购人员培训合格证复印件、在本公司近半年的社保缴纳证明等证明资料。）</w:t>
            </w:r>
          </w:p>
          <w:p w14:paraId="0FD609DA">
            <w:pPr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咨询服务单位拟任本项目负责人完成过单个合同金额3000万元及以上且采取公开招标方式的医疗类设备政府采购业绩，每个业绩计6分；</w:t>
            </w:r>
          </w:p>
          <w:p w14:paraId="1DDFF423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咨询服务单位拟任本项目负责人完成过单个合同金额2000万元及以上且采取公开招标方式的医疗类设备政府采购业绩，每个业绩计3分；</w:t>
            </w:r>
          </w:p>
          <w:p w14:paraId="757BF70B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咨询服务单位拟任本项目负责人完成过单个合同金额500万元及以上且采取公开招标方式的医疗类设备政府采购业绩，每个业绩计2分；</w:t>
            </w:r>
          </w:p>
          <w:p w14:paraId="16832E7B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服务团队得分最高计6分。</w:t>
            </w:r>
          </w:p>
          <w:p w14:paraId="4944E0BB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注：提供项目中标通知书和招标代理合同、招标公告截图等证明资料。</w:t>
            </w:r>
          </w:p>
        </w:tc>
      </w:tr>
      <w:tr w14:paraId="009D9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6" w:hRule="atLeast"/>
          <w:jc w:val="center"/>
        </w:trPr>
        <w:tc>
          <w:tcPr>
            <w:tcW w:w="390" w:type="pct"/>
            <w:noWrap w:val="0"/>
            <w:vAlign w:val="center"/>
          </w:tcPr>
          <w:p w14:paraId="793DC73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56" w:type="pct"/>
            <w:noWrap w:val="0"/>
            <w:vAlign w:val="center"/>
          </w:tcPr>
          <w:p w14:paraId="2FDFCA76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履职评价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430A7078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10分</w:t>
            </w:r>
          </w:p>
        </w:tc>
        <w:tc>
          <w:tcPr>
            <w:tcW w:w="3330" w:type="pct"/>
            <w:shd w:val="clear" w:color="auto" w:fill="auto"/>
            <w:noWrap w:val="0"/>
            <w:vAlign w:val="center"/>
          </w:tcPr>
          <w:p w14:paraId="6856B5C4">
            <w:pPr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根据中国湖南政府采购网政府采购评价中的代理机构履职评价，平均得分为100分，计5分，低于100分的，不计分。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（附相应网站截图，并加盖咨询服务单位公章。否则不予计分。）</w:t>
            </w:r>
          </w:p>
          <w:p w14:paraId="70E1EE54">
            <w:pPr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近1年内（2024年7月-2025年7月）在“娄底市公共资源交易中心网站”中不存在场内交易行为违反《娄底市公共资源交易现场见证监督管理办法（试行）》（娄公资发〔2024〕2号）规定被以公示的情形。不存在计5分，存在违反行为不计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（附相应网站截图，并加盖咨询服务单位公章。否则不予计分。）</w:t>
            </w:r>
          </w:p>
        </w:tc>
      </w:tr>
      <w:tr w14:paraId="1CB047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  <w:jc w:val="center"/>
        </w:trPr>
        <w:tc>
          <w:tcPr>
            <w:tcW w:w="390" w:type="pct"/>
            <w:shd w:val="clear" w:color="auto" w:fill="auto"/>
            <w:noWrap w:val="0"/>
            <w:vAlign w:val="center"/>
          </w:tcPr>
          <w:p w14:paraId="6A798D1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756" w:type="pct"/>
            <w:shd w:val="clear" w:color="auto" w:fill="auto"/>
            <w:noWrap w:val="0"/>
            <w:vAlign w:val="center"/>
          </w:tcPr>
          <w:p w14:paraId="7433CA82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服务方案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5FC1232A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</w:t>
            </w:r>
          </w:p>
        </w:tc>
        <w:tc>
          <w:tcPr>
            <w:tcW w:w="3330" w:type="pct"/>
            <w:shd w:val="clear" w:color="auto" w:fill="auto"/>
            <w:noWrap w:val="0"/>
            <w:vAlign w:val="center"/>
          </w:tcPr>
          <w:p w14:paraId="63CA91BC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综合比较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项目提供的服务方案，包括但不限于标段划分服务方案、组织专家评审论证方案、保密方案、政府采购内部监督管理方案、质疑投诉处理方案、服务质量保障方案、招标采购文件咨询方案、协助开评标组织方案、档案管理方案、廉政风险防控方案。方案合理、完善、可行的计25分；方案有缺漏项，不完善的，每一项扣3分；方案欠合理的，每项扣2分。</w:t>
            </w:r>
          </w:p>
        </w:tc>
      </w:tr>
      <w:tr w14:paraId="1C30FB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46" w:type="pct"/>
            <w:gridSpan w:val="2"/>
            <w:noWrap w:val="0"/>
            <w:vAlign w:val="center"/>
          </w:tcPr>
          <w:p w14:paraId="62C51B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总分</w:t>
            </w:r>
          </w:p>
        </w:tc>
        <w:tc>
          <w:tcPr>
            <w:tcW w:w="522" w:type="pct"/>
            <w:noWrap w:val="0"/>
            <w:vAlign w:val="center"/>
          </w:tcPr>
          <w:p w14:paraId="6FB58BA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100分</w:t>
            </w:r>
          </w:p>
        </w:tc>
        <w:tc>
          <w:tcPr>
            <w:tcW w:w="3330" w:type="pct"/>
            <w:noWrap w:val="0"/>
            <w:vAlign w:val="center"/>
          </w:tcPr>
          <w:p w14:paraId="2DCB1D5D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</w:tbl>
    <w:p w14:paraId="5015EE53">
      <w:pPr>
        <w:rPr>
          <w:rFonts w:hint="default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134" w:right="1361" w:bottom="113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22E1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366326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366326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3A62EB"/>
    <w:multiLevelType w:val="singleLevel"/>
    <w:tmpl w:val="BC3A62E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FA59DE8"/>
    <w:multiLevelType w:val="singleLevel"/>
    <w:tmpl w:val="2FA59D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2A90"/>
    <w:rsid w:val="0082407D"/>
    <w:rsid w:val="014A51C2"/>
    <w:rsid w:val="02AA42A7"/>
    <w:rsid w:val="040664D1"/>
    <w:rsid w:val="07D71936"/>
    <w:rsid w:val="08071A24"/>
    <w:rsid w:val="084E0E8F"/>
    <w:rsid w:val="092C3812"/>
    <w:rsid w:val="0993353C"/>
    <w:rsid w:val="0B5A3075"/>
    <w:rsid w:val="0DAF2866"/>
    <w:rsid w:val="0EE451F4"/>
    <w:rsid w:val="0FCE0606"/>
    <w:rsid w:val="109D7B57"/>
    <w:rsid w:val="10A8453A"/>
    <w:rsid w:val="11CF3CA8"/>
    <w:rsid w:val="17026D28"/>
    <w:rsid w:val="1AB570BD"/>
    <w:rsid w:val="1CA948BE"/>
    <w:rsid w:val="1CF71B53"/>
    <w:rsid w:val="20735CFA"/>
    <w:rsid w:val="24AE58AD"/>
    <w:rsid w:val="268705FF"/>
    <w:rsid w:val="26D905D7"/>
    <w:rsid w:val="26E36D60"/>
    <w:rsid w:val="28C21769"/>
    <w:rsid w:val="2920604A"/>
    <w:rsid w:val="29302B07"/>
    <w:rsid w:val="2A582A90"/>
    <w:rsid w:val="2B36625C"/>
    <w:rsid w:val="2B6C7C6C"/>
    <w:rsid w:val="2BA03D9B"/>
    <w:rsid w:val="2DFD104F"/>
    <w:rsid w:val="3123652A"/>
    <w:rsid w:val="33254453"/>
    <w:rsid w:val="33615BDC"/>
    <w:rsid w:val="33D62126"/>
    <w:rsid w:val="35F85BA3"/>
    <w:rsid w:val="38587CA3"/>
    <w:rsid w:val="386A2273"/>
    <w:rsid w:val="38BD5663"/>
    <w:rsid w:val="39E11825"/>
    <w:rsid w:val="3AA2383A"/>
    <w:rsid w:val="3AC43F37"/>
    <w:rsid w:val="3B0C313B"/>
    <w:rsid w:val="3C706288"/>
    <w:rsid w:val="3E5F3B63"/>
    <w:rsid w:val="3FE71217"/>
    <w:rsid w:val="40447056"/>
    <w:rsid w:val="40F34342"/>
    <w:rsid w:val="42901EB5"/>
    <w:rsid w:val="42EE4F1F"/>
    <w:rsid w:val="43B2602F"/>
    <w:rsid w:val="44114944"/>
    <w:rsid w:val="454D400E"/>
    <w:rsid w:val="46D17BEC"/>
    <w:rsid w:val="46DC6157"/>
    <w:rsid w:val="4733587C"/>
    <w:rsid w:val="480F5EA3"/>
    <w:rsid w:val="49816F29"/>
    <w:rsid w:val="4AF91803"/>
    <w:rsid w:val="4B3650A3"/>
    <w:rsid w:val="4C793B3F"/>
    <w:rsid w:val="4CE4647E"/>
    <w:rsid w:val="4D241CFD"/>
    <w:rsid w:val="500D4CCA"/>
    <w:rsid w:val="50697E29"/>
    <w:rsid w:val="5147420C"/>
    <w:rsid w:val="53C9715A"/>
    <w:rsid w:val="54A810B9"/>
    <w:rsid w:val="55920E48"/>
    <w:rsid w:val="56C0095F"/>
    <w:rsid w:val="56DF774B"/>
    <w:rsid w:val="572D17AE"/>
    <w:rsid w:val="575338B6"/>
    <w:rsid w:val="59E31446"/>
    <w:rsid w:val="5B12258D"/>
    <w:rsid w:val="5B781879"/>
    <w:rsid w:val="5DA327CA"/>
    <w:rsid w:val="5DCE2CC2"/>
    <w:rsid w:val="5EF7101F"/>
    <w:rsid w:val="5F074FDA"/>
    <w:rsid w:val="5F1966F9"/>
    <w:rsid w:val="60CC2F88"/>
    <w:rsid w:val="61291238"/>
    <w:rsid w:val="61EE342C"/>
    <w:rsid w:val="622B6432"/>
    <w:rsid w:val="623F458C"/>
    <w:rsid w:val="62EF7E58"/>
    <w:rsid w:val="64305E79"/>
    <w:rsid w:val="64A52D18"/>
    <w:rsid w:val="663C10FB"/>
    <w:rsid w:val="673C02A0"/>
    <w:rsid w:val="67DB6B02"/>
    <w:rsid w:val="6B034621"/>
    <w:rsid w:val="6C0A1516"/>
    <w:rsid w:val="6D4573FA"/>
    <w:rsid w:val="70F07EC4"/>
    <w:rsid w:val="71956476"/>
    <w:rsid w:val="71F238C8"/>
    <w:rsid w:val="72622DE9"/>
    <w:rsid w:val="72B169F7"/>
    <w:rsid w:val="73A8242F"/>
    <w:rsid w:val="73F07B89"/>
    <w:rsid w:val="750D6535"/>
    <w:rsid w:val="775C5BE0"/>
    <w:rsid w:val="77894387"/>
    <w:rsid w:val="77E96A8E"/>
    <w:rsid w:val="78451B57"/>
    <w:rsid w:val="7860488C"/>
    <w:rsid w:val="79E969C7"/>
    <w:rsid w:val="7B7A0BB6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Cambria" w:hAnsi="Cambria" w:eastAsia="宋体" w:cs="宋体"/>
      <w:b/>
      <w:bCs/>
      <w:sz w:val="32"/>
      <w:szCs w:val="32"/>
    </w:rPr>
  </w:style>
  <w:style w:type="paragraph" w:customStyle="1" w:styleId="8">
    <w:name w:val="BodyText"/>
    <w:basedOn w:val="1"/>
    <w:qFormat/>
    <w:uiPriority w:val="0"/>
    <w:pPr>
      <w:spacing w:after="12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2641</Words>
  <Characters>2756</Characters>
  <Lines>0</Lines>
  <Paragraphs>0</Paragraphs>
  <TotalTime>46</TotalTime>
  <ScaleCrop>false</ScaleCrop>
  <LinksUpToDate>false</LinksUpToDate>
  <CharactersWithSpaces>2761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2025-06-04T12:42:00Z</dcterms:created>
  <dc:creator>李韬</dc:creator>
  <cp:lastModifiedBy>中标快印</cp:lastModifiedBy>
  <cp:lastPrinted>2025-08-28T02:52:00Z</cp:lastPrinted>
  <dcterms:modified xsi:type="dcterms:W3CDTF">2025-08-28T09:31:58Z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E093939612534F7FAA5BA49909514FCB_13</vt:lpwstr>
  </property>
  <property fmtid="{D5CDD505-2E9C-101B-9397-08002B2CF9AE}" pid="4" name="KSOTemplateDocerSaveRecord">
    <vt:lpwstr>eyJoZGlkIjoiYTc4MDNhYmM5MjU3NjIzZDBkOGNjMDU5NjgxMzEyYjkiLCJ1c2VySWQiOiI0NjE3MDU1MjUifQ==</vt:lpwstr>
  </property>
</Properties>
</file>